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2121" w14:textId="45EF2D50" w:rsidR="006D0501" w:rsidRPr="00457C38" w:rsidRDefault="006D0501" w:rsidP="003208B3">
      <w:pPr>
        <w:spacing w:after="0" w:line="240" w:lineRule="auto"/>
        <w:contextualSpacing/>
        <w:jc w:val="center"/>
        <w:rPr>
          <w:b/>
          <w:bCs/>
          <w:color w:val="44546A" w:themeColor="text2"/>
          <w:sz w:val="24"/>
          <w:szCs w:val="24"/>
        </w:rPr>
      </w:pPr>
      <w:r w:rsidRPr="00457C38">
        <w:rPr>
          <w:b/>
          <w:bCs/>
          <w:color w:val="44546A" w:themeColor="text2"/>
          <w:sz w:val="24"/>
          <w:szCs w:val="24"/>
        </w:rPr>
        <w:t>Terms of Reference</w:t>
      </w:r>
      <w:r>
        <w:rPr>
          <w:b/>
          <w:bCs/>
          <w:color w:val="44546A" w:themeColor="text2"/>
          <w:sz w:val="24"/>
          <w:szCs w:val="24"/>
        </w:rPr>
        <w:t xml:space="preserve"> (TOR)</w:t>
      </w:r>
    </w:p>
    <w:p w14:paraId="1CAAE321" w14:textId="77777777" w:rsidR="006D0501" w:rsidRPr="00C3697A" w:rsidRDefault="006D0501" w:rsidP="006D0501">
      <w:pPr>
        <w:spacing w:after="0" w:line="240" w:lineRule="auto"/>
        <w:contextualSpacing/>
        <w:jc w:val="center"/>
        <w:rPr>
          <w:b/>
          <w:bCs/>
          <w:color w:val="44546A" w:themeColor="text2"/>
        </w:rPr>
      </w:pPr>
    </w:p>
    <w:p w14:paraId="62D83171" w14:textId="3D26195E" w:rsidR="006D0501" w:rsidRDefault="00054738" w:rsidP="006D0501">
      <w:pPr>
        <w:spacing w:after="0" w:line="240" w:lineRule="auto"/>
        <w:contextualSpacing/>
        <w:jc w:val="center"/>
        <w:rPr>
          <w:b/>
          <w:bCs/>
          <w:color w:val="44546A" w:themeColor="text2"/>
        </w:rPr>
      </w:pPr>
      <w:r>
        <w:rPr>
          <w:b/>
          <w:bCs/>
          <w:color w:val="44546A" w:themeColor="text2"/>
        </w:rPr>
        <w:t>Co</w:t>
      </w:r>
      <w:r>
        <w:rPr>
          <w:b/>
          <w:bCs/>
          <w:color w:val="44546A" w:themeColor="text2"/>
        </w:rPr>
        <w:t>nsultant</w:t>
      </w:r>
      <w:r>
        <w:rPr>
          <w:b/>
          <w:bCs/>
          <w:color w:val="44546A" w:themeColor="text2"/>
        </w:rPr>
        <w:t xml:space="preserve"> - </w:t>
      </w:r>
      <w:r w:rsidR="006D0501">
        <w:rPr>
          <w:b/>
          <w:bCs/>
          <w:color w:val="44546A" w:themeColor="text2"/>
        </w:rPr>
        <w:t xml:space="preserve">Assessment of Operational Guidelines and Standard Operating Procedures </w:t>
      </w:r>
    </w:p>
    <w:p w14:paraId="1AEDAEB2" w14:textId="3906B3EF" w:rsidR="006D0501" w:rsidRPr="004E496F" w:rsidRDefault="006D0501" w:rsidP="006D0501">
      <w:pPr>
        <w:spacing w:after="0" w:line="240" w:lineRule="auto"/>
        <w:contextualSpacing/>
        <w:jc w:val="center"/>
        <w:rPr>
          <w:b/>
          <w:bCs/>
          <w:color w:val="44546A" w:themeColor="text2"/>
        </w:rPr>
      </w:pPr>
      <w:r>
        <w:rPr>
          <w:b/>
          <w:bCs/>
          <w:color w:val="44546A" w:themeColor="text2"/>
        </w:rPr>
        <w:t xml:space="preserve">for </w:t>
      </w:r>
      <w:r w:rsidR="0075755A">
        <w:rPr>
          <w:b/>
          <w:bCs/>
          <w:color w:val="44546A" w:themeColor="text2"/>
        </w:rPr>
        <w:t>The Border Consortium</w:t>
      </w:r>
      <w:r>
        <w:rPr>
          <w:b/>
          <w:bCs/>
          <w:color w:val="44546A" w:themeColor="text2"/>
        </w:rPr>
        <w:t>’s Food Card Processes &amp; Systems</w:t>
      </w:r>
    </w:p>
    <w:p w14:paraId="2B5392B2" w14:textId="77777777" w:rsidR="006D0501" w:rsidRDefault="006D0501" w:rsidP="006D0501">
      <w:pPr>
        <w:spacing w:after="0" w:line="240" w:lineRule="auto"/>
        <w:contextualSpacing/>
        <w:rPr>
          <w:b/>
          <w:bCs/>
        </w:rPr>
      </w:pPr>
    </w:p>
    <w:p w14:paraId="402F7AB3" w14:textId="77777777" w:rsidR="006D0501" w:rsidRDefault="006D0501" w:rsidP="006D0501">
      <w:pPr>
        <w:spacing w:after="0" w:line="240" w:lineRule="auto"/>
        <w:contextualSpacing/>
        <w:rPr>
          <w:b/>
          <w:bCs/>
        </w:rPr>
      </w:pPr>
    </w:p>
    <w:p w14:paraId="7882FC2A" w14:textId="77777777" w:rsidR="006D0501" w:rsidRPr="00984518" w:rsidRDefault="006D0501" w:rsidP="006D0501">
      <w:pPr>
        <w:spacing w:after="0" w:line="240" w:lineRule="auto"/>
        <w:contextualSpacing/>
        <w:rPr>
          <w:b/>
          <w:bCs/>
          <w:color w:val="44546A" w:themeColor="text2"/>
        </w:rPr>
      </w:pPr>
      <w:r w:rsidRPr="00984518">
        <w:rPr>
          <w:b/>
          <w:bCs/>
          <w:color w:val="44546A" w:themeColor="text2"/>
        </w:rPr>
        <w:t>I. Background / Context</w:t>
      </w:r>
    </w:p>
    <w:p w14:paraId="5410E0FA" w14:textId="77777777" w:rsidR="006D0501" w:rsidRPr="00984518" w:rsidRDefault="006D0501" w:rsidP="006D0501">
      <w:pPr>
        <w:spacing w:after="0" w:line="240" w:lineRule="auto"/>
        <w:contextualSpacing/>
        <w:jc w:val="both"/>
      </w:pPr>
    </w:p>
    <w:p w14:paraId="2693AB44" w14:textId="77777777" w:rsidR="006D0501" w:rsidRDefault="006D0501" w:rsidP="006D0501">
      <w:r>
        <w:t>The Border Consortium (TBC), based in Thailand, has been working with refugees from Myanmar since 1984. TBC is the main provider of food, shelter, and other forms of support to approximately 80,000 refugees, in remote camps in Thailand, located close to the Myanmar border.</w:t>
      </w:r>
    </w:p>
    <w:p w14:paraId="0A1E1E62" w14:textId="77777777" w:rsidR="006D0501" w:rsidRDefault="006D0501" w:rsidP="006D0501">
      <w:r>
        <w:t xml:space="preserve">TBC utilizes a food card system (FCS) with facial biometrics to provide food assistance to the refugees, with a </w:t>
      </w:r>
      <w:r w:rsidRPr="00C82460">
        <w:t xml:space="preserve">total </w:t>
      </w:r>
      <w:r>
        <w:t>of approximately 15,500</w:t>
      </w:r>
      <w:r w:rsidRPr="00C82460">
        <w:t xml:space="preserve"> </w:t>
      </w:r>
      <w:r>
        <w:t xml:space="preserve">household </w:t>
      </w:r>
      <w:r w:rsidRPr="00C82460">
        <w:t xml:space="preserve">cards and 130 </w:t>
      </w:r>
      <w:r>
        <w:t xml:space="preserve">camp-based </w:t>
      </w:r>
      <w:r w:rsidRPr="00C82460">
        <w:t>vendors</w:t>
      </w:r>
      <w:r>
        <w:t xml:space="preserve"> across nine refugee camps. </w:t>
      </w:r>
    </w:p>
    <w:p w14:paraId="40803E70" w14:textId="77777777" w:rsidR="006D0501" w:rsidRDefault="006D0501" w:rsidP="006D0501">
      <w:r>
        <w:t xml:space="preserve">TBC is seeking a consultant to review, assess, and make recommendations on the FCS’s design, implementation, and processes to enhance its overall effectiveness. </w:t>
      </w:r>
    </w:p>
    <w:p w14:paraId="12E8284E" w14:textId="77777777" w:rsidR="006D0501" w:rsidRPr="00984518" w:rsidRDefault="006D0501" w:rsidP="006D0501">
      <w:pPr>
        <w:spacing w:after="0" w:line="240" w:lineRule="auto"/>
        <w:contextualSpacing/>
        <w:rPr>
          <w:b/>
          <w:bCs/>
          <w:color w:val="44546A" w:themeColor="text2"/>
        </w:rPr>
      </w:pPr>
      <w:r w:rsidRPr="00984518">
        <w:rPr>
          <w:b/>
          <w:bCs/>
          <w:color w:val="44546A" w:themeColor="text2"/>
        </w:rPr>
        <w:t>II. Scope of Consultancy</w:t>
      </w:r>
    </w:p>
    <w:p w14:paraId="6F5EF51A" w14:textId="77777777" w:rsidR="006D0501" w:rsidRPr="004E496F" w:rsidRDefault="006D0501" w:rsidP="006D0501">
      <w:pPr>
        <w:spacing w:after="0" w:line="240" w:lineRule="auto"/>
        <w:contextualSpacing/>
        <w:rPr>
          <w:b/>
          <w:bCs/>
          <w:color w:val="44546A" w:themeColor="text2"/>
        </w:rPr>
      </w:pPr>
    </w:p>
    <w:p w14:paraId="28EDCC33" w14:textId="77777777" w:rsidR="006D0501" w:rsidRDefault="006D0501" w:rsidP="006D0501">
      <w:pPr>
        <w:spacing w:after="0" w:line="240" w:lineRule="auto"/>
        <w:contextualSpacing/>
        <w:jc w:val="both"/>
      </w:pPr>
      <w:r>
        <w:t xml:space="preserve">The appointed consultant, in collaboration with TBC management and staff, will </w:t>
      </w:r>
      <w:proofErr w:type="gramStart"/>
      <w:r>
        <w:t>conduct an assessment of</w:t>
      </w:r>
      <w:proofErr w:type="gramEnd"/>
      <w:r>
        <w:t xml:space="preserve"> the current FCS, and relevant organizational structure in order to provide detailed analysis of current processes, benchmarking with standard practices, identification of gaps, and to make recommendations for improvements which ensure transparent, integrated, effective, and efficient execution of this system.</w:t>
      </w:r>
    </w:p>
    <w:p w14:paraId="45BF8DC7" w14:textId="77777777" w:rsidR="006D0501" w:rsidRDefault="006D0501" w:rsidP="006D0501">
      <w:pPr>
        <w:spacing w:after="0" w:line="240" w:lineRule="auto"/>
        <w:contextualSpacing/>
        <w:jc w:val="both"/>
      </w:pPr>
    </w:p>
    <w:p w14:paraId="60AEEF8C" w14:textId="77777777" w:rsidR="006D0501" w:rsidRDefault="006D0501" w:rsidP="006D0501">
      <w:pPr>
        <w:spacing w:after="0" w:line="240" w:lineRule="auto"/>
        <w:contextualSpacing/>
        <w:jc w:val="both"/>
      </w:pPr>
      <w:r>
        <w:t>Specifically, the appointed consultant will:</w:t>
      </w:r>
    </w:p>
    <w:p w14:paraId="3228A90C" w14:textId="77777777" w:rsidR="006D0501" w:rsidRDefault="006D0501" w:rsidP="006D0501">
      <w:pPr>
        <w:spacing w:after="0" w:line="240" w:lineRule="auto"/>
        <w:contextualSpacing/>
        <w:jc w:val="both"/>
      </w:pPr>
    </w:p>
    <w:p w14:paraId="5CEA0D5F" w14:textId="090A34F0" w:rsidR="006D0501" w:rsidRDefault="006D0501" w:rsidP="006D0501">
      <w:pPr>
        <w:pStyle w:val="ListParagraph"/>
        <w:numPr>
          <w:ilvl w:val="0"/>
          <w:numId w:val="1"/>
        </w:numPr>
        <w:spacing w:after="0" w:line="240" w:lineRule="auto"/>
        <w:ind w:left="426" w:hanging="295"/>
        <w:contextualSpacing/>
        <w:jc w:val="both"/>
      </w:pPr>
      <w:r>
        <w:t xml:space="preserve">Assess the food card processes, system, and organizational </w:t>
      </w:r>
      <w:r w:rsidR="00DC4D88">
        <w:t>structure (</w:t>
      </w:r>
      <w:r>
        <w:t>efficiency and effectiveness, environmental appropriateness, relevance, controls, implementation, and sustainability</w:t>
      </w:r>
      <w:r w:rsidR="00DC4D88">
        <w:t>).</w:t>
      </w:r>
    </w:p>
    <w:p w14:paraId="1A0FD174" w14:textId="5FB505DD" w:rsidR="006D0501" w:rsidRDefault="0A72268D" w:rsidP="006D0501">
      <w:pPr>
        <w:pStyle w:val="ListParagraph"/>
        <w:numPr>
          <w:ilvl w:val="0"/>
          <w:numId w:val="1"/>
        </w:numPr>
        <w:spacing w:after="0" w:line="240" w:lineRule="auto"/>
        <w:ind w:left="426" w:hanging="295"/>
        <w:contextualSpacing/>
        <w:jc w:val="both"/>
      </w:pPr>
      <w:r>
        <w:t>Carry out a comparative analysis between TBC’s processes and standard good practices. Also, identify protection, gender dimensions, and impacts on natural resources.</w:t>
      </w:r>
    </w:p>
    <w:p w14:paraId="6BE2FDBE" w14:textId="385500D1" w:rsidR="006D0501" w:rsidRDefault="0A72268D" w:rsidP="006D0501">
      <w:pPr>
        <w:pStyle w:val="ListParagraph"/>
        <w:numPr>
          <w:ilvl w:val="0"/>
          <w:numId w:val="1"/>
        </w:numPr>
        <w:spacing w:after="0" w:line="240" w:lineRule="auto"/>
        <w:ind w:left="426" w:hanging="295"/>
        <w:contextualSpacing/>
        <w:jc w:val="both"/>
      </w:pPr>
      <w:r>
        <w:t>Identify ways to increase efficiency and reduce the risk of fraud and other organizational risks to TBC including factors relating to system design, business processes, and organizational structure.</w:t>
      </w:r>
    </w:p>
    <w:p w14:paraId="7E2D6179" w14:textId="77777777" w:rsidR="006D0501" w:rsidRDefault="006D0501" w:rsidP="006D0501">
      <w:pPr>
        <w:pStyle w:val="ListParagraph"/>
        <w:numPr>
          <w:ilvl w:val="0"/>
          <w:numId w:val="1"/>
        </w:numPr>
        <w:spacing w:after="0" w:line="240" w:lineRule="auto"/>
        <w:ind w:left="426" w:hanging="295"/>
        <w:contextualSpacing/>
        <w:jc w:val="both"/>
      </w:pPr>
      <w:r>
        <w:t>Recommend improvements to TBC’s food card business processes in close collaboration with key process owners and the system service provider, clearly showing functional interfaces with other workflows (i.e., finance processes, supply chain processes, and to ensure alignment to TBC’s strategic directions framework of 2023-2025, compliance with donor’s requirements, and good governance).</w:t>
      </w:r>
    </w:p>
    <w:p w14:paraId="2E015E1D" w14:textId="77777777" w:rsidR="006D0501" w:rsidRDefault="006D0501" w:rsidP="006D0501">
      <w:pPr>
        <w:pStyle w:val="ListParagraph"/>
        <w:numPr>
          <w:ilvl w:val="0"/>
          <w:numId w:val="1"/>
        </w:numPr>
        <w:spacing w:after="0" w:line="240" w:lineRule="auto"/>
        <w:ind w:left="426" w:hanging="295"/>
        <w:contextualSpacing/>
        <w:jc w:val="both"/>
      </w:pPr>
      <w:r>
        <w:t>Recommend appropriate organizational structure and human resource requirements including staff roles, positions, and responsibilities.</w:t>
      </w:r>
    </w:p>
    <w:p w14:paraId="05843B75" w14:textId="77777777" w:rsidR="006D0501" w:rsidRDefault="006D0501" w:rsidP="006D0501">
      <w:pPr>
        <w:pStyle w:val="ListParagraph"/>
        <w:numPr>
          <w:ilvl w:val="0"/>
          <w:numId w:val="1"/>
        </w:numPr>
        <w:spacing w:after="0" w:line="240" w:lineRule="auto"/>
        <w:ind w:left="426" w:hanging="295"/>
        <w:contextualSpacing/>
        <w:jc w:val="both"/>
      </w:pPr>
      <w:r>
        <w:t>Establish levels of authority and authorization for each process including suggestions for forums that support constructive interaction and good governance processes.</w:t>
      </w:r>
    </w:p>
    <w:p w14:paraId="3CE99E78" w14:textId="1C155C34" w:rsidR="006D0501" w:rsidRDefault="00CA0069" w:rsidP="006D0501">
      <w:pPr>
        <w:pStyle w:val="ListParagraph"/>
        <w:numPr>
          <w:ilvl w:val="0"/>
          <w:numId w:val="1"/>
        </w:numPr>
        <w:spacing w:after="0" w:line="240" w:lineRule="auto"/>
        <w:ind w:left="426" w:hanging="295"/>
        <w:contextualSpacing/>
        <w:jc w:val="both"/>
      </w:pPr>
      <w:r>
        <w:t>F</w:t>
      </w:r>
      <w:r w:rsidRPr="00CA0069">
        <w:t>amiliarize with</w:t>
      </w:r>
      <w:r>
        <w:t xml:space="preserve"> the</w:t>
      </w:r>
      <w:r w:rsidRPr="00CA0069">
        <w:t xml:space="preserve"> FCS provider as a significant stakeholder</w:t>
      </w:r>
      <w:r>
        <w:t xml:space="preserve"> </w:t>
      </w:r>
      <w:r w:rsidR="006D0501">
        <w:t>and</w:t>
      </w:r>
      <w:r>
        <w:t xml:space="preserve"> other</w:t>
      </w:r>
      <w:r w:rsidR="006D0501">
        <w:t xml:space="preserve"> key process owners, to identify proper customization of the system and make recommendations for reports’ automation and formats.</w:t>
      </w:r>
    </w:p>
    <w:p w14:paraId="69712673" w14:textId="77777777" w:rsidR="006D0501" w:rsidRPr="007165E4" w:rsidRDefault="006D0501" w:rsidP="006D0501">
      <w:pPr>
        <w:pStyle w:val="ListParagraph"/>
        <w:numPr>
          <w:ilvl w:val="0"/>
          <w:numId w:val="1"/>
        </w:numPr>
        <w:spacing w:after="0" w:line="240" w:lineRule="auto"/>
        <w:ind w:left="426" w:hanging="295"/>
        <w:contextualSpacing/>
        <w:jc w:val="both"/>
      </w:pPr>
      <w:r>
        <w:t>Work with TBC’s Senior Management Team (SMT) and project managers to elucidate key impacts on staff, risks in process implementation, and to advise on appropriate revisions.</w:t>
      </w:r>
    </w:p>
    <w:p w14:paraId="34DD0735" w14:textId="77777777" w:rsidR="006D0501" w:rsidRPr="00701E1F" w:rsidRDefault="006D0501" w:rsidP="006D0501">
      <w:pPr>
        <w:pStyle w:val="ListParagraph"/>
        <w:spacing w:after="0" w:line="240" w:lineRule="auto"/>
        <w:contextualSpacing/>
        <w:rPr>
          <w:b/>
          <w:bCs/>
          <w:color w:val="44546A" w:themeColor="text2"/>
        </w:rPr>
      </w:pPr>
    </w:p>
    <w:p w14:paraId="1E6A58A5" w14:textId="77777777" w:rsidR="006D0501" w:rsidRDefault="5FB756E9" w:rsidP="006D0501">
      <w:pPr>
        <w:spacing w:after="0" w:line="240" w:lineRule="auto"/>
        <w:contextualSpacing/>
        <w:rPr>
          <w:b/>
          <w:bCs/>
          <w:color w:val="44546A" w:themeColor="text2"/>
        </w:rPr>
      </w:pPr>
      <w:r w:rsidRPr="5FB756E9">
        <w:rPr>
          <w:b/>
          <w:bCs/>
          <w:color w:val="44546A" w:themeColor="text2"/>
        </w:rPr>
        <w:t>III. Expected Outputs/Deliverables:</w:t>
      </w:r>
    </w:p>
    <w:p w14:paraId="70D763FE" w14:textId="77777777" w:rsidR="006D0501" w:rsidRPr="004E496F" w:rsidRDefault="006D0501" w:rsidP="006D0501">
      <w:pPr>
        <w:spacing w:after="0" w:line="240" w:lineRule="auto"/>
        <w:contextualSpacing/>
        <w:rPr>
          <w:b/>
          <w:bCs/>
          <w:color w:val="44546A" w:themeColor="text2"/>
        </w:rPr>
      </w:pPr>
    </w:p>
    <w:p w14:paraId="1223EE01" w14:textId="300D1A62" w:rsidR="006D0501" w:rsidRDefault="11E24193" w:rsidP="006D0501">
      <w:pPr>
        <w:pStyle w:val="ListParagraph"/>
        <w:numPr>
          <w:ilvl w:val="0"/>
          <w:numId w:val="2"/>
        </w:numPr>
        <w:ind w:left="426" w:hanging="284"/>
        <w:contextualSpacing/>
        <w:jc w:val="both"/>
      </w:pPr>
      <w:r>
        <w:t>Gap assessment report relating to processes, systems, and structures required for effective and efficient food card activity processes and organizational structure.</w:t>
      </w:r>
    </w:p>
    <w:p w14:paraId="076E510B" w14:textId="01B9EDE2" w:rsidR="006D0501" w:rsidRDefault="11E24193" w:rsidP="006D0501">
      <w:pPr>
        <w:pStyle w:val="ListParagraph"/>
        <w:numPr>
          <w:ilvl w:val="0"/>
          <w:numId w:val="2"/>
        </w:numPr>
        <w:ind w:left="426" w:hanging="284"/>
        <w:contextualSpacing/>
        <w:jc w:val="both"/>
      </w:pPr>
      <w:r>
        <w:t>Mapping of the food card activity processes, clearly showing functional interfaces with other workflows (i.e., finance processes, supply chain processes, and to ensure alignment to TBC’s strategic directions framework of 2023-2025, compliance with donor’s requirements, and good governance).</w:t>
      </w:r>
    </w:p>
    <w:p w14:paraId="2E27BAB6" w14:textId="77777777" w:rsidR="006D0501" w:rsidRDefault="006D0501" w:rsidP="006D0501">
      <w:pPr>
        <w:pStyle w:val="ListParagraph"/>
        <w:numPr>
          <w:ilvl w:val="0"/>
          <w:numId w:val="2"/>
        </w:numPr>
        <w:ind w:left="426" w:hanging="284"/>
        <w:contextualSpacing/>
        <w:jc w:val="both"/>
      </w:pPr>
      <w:r>
        <w:t>Recommendations on organizational structure and human resource requirements including job roles, positions, and responsibilities.</w:t>
      </w:r>
    </w:p>
    <w:p w14:paraId="453295EF" w14:textId="77777777" w:rsidR="006D0501" w:rsidRDefault="006D0501" w:rsidP="006D0501">
      <w:pPr>
        <w:pStyle w:val="ListParagraph"/>
        <w:numPr>
          <w:ilvl w:val="0"/>
          <w:numId w:val="2"/>
        </w:numPr>
        <w:ind w:left="426" w:hanging="284"/>
        <w:contextualSpacing/>
        <w:jc w:val="both"/>
      </w:pPr>
      <w:r>
        <w:t>Table of levels of authority and authorization for each process.</w:t>
      </w:r>
    </w:p>
    <w:p w14:paraId="40AEC60B" w14:textId="1258B11F" w:rsidR="006D0501" w:rsidRDefault="4F8A297A" w:rsidP="006D0501">
      <w:pPr>
        <w:pStyle w:val="ListParagraph"/>
        <w:numPr>
          <w:ilvl w:val="0"/>
          <w:numId w:val="2"/>
        </w:numPr>
        <w:ind w:left="426" w:hanging="284"/>
        <w:contextualSpacing/>
        <w:jc w:val="both"/>
      </w:pPr>
      <w:r>
        <w:t>Suggestions on forums which support constructive interaction and good governance to processes</w:t>
      </w:r>
      <w:r w:rsidR="00402D5F">
        <w:t xml:space="preserve"> </w:t>
      </w:r>
      <w:r w:rsidR="00402D5F" w:rsidRPr="00D94CA2">
        <w:t>with regards to internal coordination mechanisms</w:t>
      </w:r>
      <w:r w:rsidRPr="00D94CA2">
        <w:t>.</w:t>
      </w:r>
    </w:p>
    <w:p w14:paraId="0BF07422" w14:textId="7C56494F" w:rsidR="006D0501" w:rsidRPr="00D94CA2" w:rsidRDefault="4F8A297A" w:rsidP="006D0501">
      <w:pPr>
        <w:pStyle w:val="ListParagraph"/>
        <w:numPr>
          <w:ilvl w:val="0"/>
          <w:numId w:val="2"/>
        </w:numPr>
        <w:ind w:left="426" w:hanging="284"/>
        <w:contextualSpacing/>
        <w:jc w:val="both"/>
      </w:pPr>
      <w:r>
        <w:t>Report outlining proper customization of the system including automated reports</w:t>
      </w:r>
      <w:r w:rsidR="00402D5F" w:rsidRPr="00D94CA2">
        <w:t>, such as those produced from the operating system,</w:t>
      </w:r>
      <w:r w:rsidRPr="00D94CA2">
        <w:t xml:space="preserve"> and impactful and appropriate report formats.</w:t>
      </w:r>
    </w:p>
    <w:p w14:paraId="22A3F18E" w14:textId="77777777" w:rsidR="006D0501" w:rsidRDefault="006D0501" w:rsidP="006D0501">
      <w:pPr>
        <w:pStyle w:val="ListParagraph"/>
        <w:numPr>
          <w:ilvl w:val="0"/>
          <w:numId w:val="2"/>
        </w:numPr>
        <w:ind w:left="426" w:hanging="284"/>
        <w:contextualSpacing/>
        <w:jc w:val="both"/>
      </w:pPr>
      <w:r>
        <w:t>Recommendations on key management and monitoring considerations for implementation processes inclusive of markets, household expenditures, and supply chains.</w:t>
      </w:r>
    </w:p>
    <w:p w14:paraId="067686B8" w14:textId="77777777" w:rsidR="006D0501" w:rsidRDefault="006D0501" w:rsidP="006D0501">
      <w:pPr>
        <w:pStyle w:val="ListParagraph"/>
        <w:numPr>
          <w:ilvl w:val="0"/>
          <w:numId w:val="2"/>
        </w:numPr>
        <w:ind w:left="426" w:hanging="284"/>
        <w:contextualSpacing/>
        <w:jc w:val="both"/>
      </w:pPr>
      <w:r>
        <w:t>Presentation session to summarize findings of key outputs and deliverables.</w:t>
      </w:r>
    </w:p>
    <w:p w14:paraId="0C1AE1D1" w14:textId="77777777" w:rsidR="006D0501" w:rsidRPr="0043485B" w:rsidRDefault="006D0501" w:rsidP="006D0501">
      <w:pPr>
        <w:contextualSpacing/>
        <w:jc w:val="both"/>
      </w:pPr>
      <w:r w:rsidRPr="008B0F0D">
        <w:rPr>
          <w:b/>
          <w:bCs/>
          <w:color w:val="44546A" w:themeColor="text2"/>
        </w:rPr>
        <w:t>IV. Qualifications:</w:t>
      </w:r>
    </w:p>
    <w:p w14:paraId="7E55BF67" w14:textId="77777777" w:rsidR="006D0501" w:rsidRPr="009921EB" w:rsidRDefault="006D0501" w:rsidP="006D0501">
      <w:pPr>
        <w:contextualSpacing/>
        <w:jc w:val="both"/>
        <w:rPr>
          <w:b/>
          <w:bCs/>
        </w:rPr>
      </w:pPr>
    </w:p>
    <w:p w14:paraId="3A9CC043" w14:textId="77777777" w:rsidR="006D0501" w:rsidRDefault="006D0501" w:rsidP="006D0501">
      <w:pPr>
        <w:contextualSpacing/>
        <w:jc w:val="both"/>
      </w:pPr>
      <w:r>
        <w:t>To qualify for this appointment, the consultant:</w:t>
      </w:r>
    </w:p>
    <w:p w14:paraId="2A88AF45" w14:textId="77777777" w:rsidR="006D0501" w:rsidRDefault="006D0501" w:rsidP="006D0501">
      <w:pPr>
        <w:pStyle w:val="ListParagraph"/>
        <w:numPr>
          <w:ilvl w:val="0"/>
          <w:numId w:val="3"/>
        </w:numPr>
        <w:ind w:left="426" w:hanging="284"/>
        <w:contextualSpacing/>
        <w:jc w:val="both"/>
      </w:pPr>
      <w:r>
        <w:t xml:space="preserve">Must have not less than 10 years relevant and professional experience of active engagement with clients in a humanitarian context or related field. </w:t>
      </w:r>
    </w:p>
    <w:p w14:paraId="58B8B73E" w14:textId="54E7A721" w:rsidR="006D0501" w:rsidRDefault="00516250" w:rsidP="006D0501">
      <w:pPr>
        <w:pStyle w:val="ListParagraph"/>
        <w:numPr>
          <w:ilvl w:val="0"/>
          <w:numId w:val="3"/>
        </w:numPr>
        <w:ind w:left="426" w:hanging="284"/>
        <w:contextualSpacing/>
        <w:jc w:val="both"/>
      </w:pPr>
      <w:r>
        <w:t>Will possess relevant, professional qualifications in humanitarian assistance or business process improvement/reengineering, Cash and Voucher Assistance (CVA), cash transfer systems, and organization design.</w:t>
      </w:r>
    </w:p>
    <w:p w14:paraId="415AA2CF" w14:textId="56038763" w:rsidR="006D0501" w:rsidRDefault="00516250" w:rsidP="006D0501">
      <w:pPr>
        <w:pStyle w:val="ListParagraph"/>
        <w:numPr>
          <w:ilvl w:val="0"/>
          <w:numId w:val="3"/>
        </w:numPr>
        <w:ind w:left="426" w:hanging="284"/>
        <w:contextualSpacing/>
        <w:jc w:val="both"/>
      </w:pPr>
      <w:r>
        <w:t>Must demonstrate evidence of similar work done with comparable organizations, possibly in similar settings.</w:t>
      </w:r>
    </w:p>
    <w:p w14:paraId="4D24BE82" w14:textId="606DCF1C" w:rsidR="006D0501" w:rsidRDefault="00516250" w:rsidP="006D0501">
      <w:pPr>
        <w:pStyle w:val="ListParagraph"/>
        <w:numPr>
          <w:ilvl w:val="0"/>
          <w:numId w:val="2"/>
        </w:numPr>
        <w:ind w:left="426" w:hanging="284"/>
        <w:contextualSpacing/>
        <w:jc w:val="both"/>
      </w:pPr>
      <w:r>
        <w:t>Have previously executed humanitarian assistance or business process improvement projects involving software implementation and ICT transformation.</w:t>
      </w:r>
    </w:p>
    <w:p w14:paraId="15AD5CDE" w14:textId="77777777" w:rsidR="006D0501" w:rsidRDefault="006D0501" w:rsidP="006D0501">
      <w:pPr>
        <w:pStyle w:val="ListParagraph"/>
        <w:numPr>
          <w:ilvl w:val="0"/>
          <w:numId w:val="2"/>
        </w:numPr>
        <w:ind w:left="426" w:hanging="284"/>
        <w:contextualSpacing/>
        <w:jc w:val="both"/>
      </w:pPr>
      <w:r>
        <w:t>Will preferably have familiarity with non-profit organizational environments and dynamics.</w:t>
      </w:r>
    </w:p>
    <w:p w14:paraId="36D069BF" w14:textId="109A12F2" w:rsidR="006D0501" w:rsidRDefault="006D0501" w:rsidP="006D0501">
      <w:pPr>
        <w:contextualSpacing/>
        <w:jc w:val="both"/>
        <w:rPr>
          <w:b/>
          <w:bCs/>
          <w:color w:val="44546A" w:themeColor="text2"/>
        </w:rPr>
      </w:pPr>
      <w:r w:rsidRPr="0034349A">
        <w:rPr>
          <w:b/>
          <w:bCs/>
          <w:color w:val="44546A" w:themeColor="text2"/>
        </w:rPr>
        <w:t xml:space="preserve">V. </w:t>
      </w:r>
      <w:r>
        <w:rPr>
          <w:b/>
          <w:bCs/>
          <w:color w:val="44546A" w:themeColor="text2"/>
        </w:rPr>
        <w:t>Provisional Schedule</w:t>
      </w:r>
    </w:p>
    <w:p w14:paraId="01D5763B" w14:textId="77777777" w:rsidR="00AF47D0" w:rsidRDefault="00AF47D0" w:rsidP="006D0501">
      <w:pPr>
        <w:contextualSpacing/>
        <w:jc w:val="both"/>
        <w:rPr>
          <w:b/>
          <w:bCs/>
          <w:color w:val="44546A" w:themeColor="text2"/>
        </w:rPr>
      </w:pPr>
    </w:p>
    <w:tbl>
      <w:tblPr>
        <w:tblStyle w:val="TableGrid"/>
        <w:tblW w:w="0" w:type="auto"/>
        <w:tblLook w:val="04A0" w:firstRow="1" w:lastRow="0" w:firstColumn="1" w:lastColumn="0" w:noHBand="0" w:noVBand="1"/>
      </w:tblPr>
      <w:tblGrid>
        <w:gridCol w:w="3116"/>
        <w:gridCol w:w="3117"/>
        <w:gridCol w:w="3117"/>
      </w:tblGrid>
      <w:tr w:rsidR="00AF47D0" w14:paraId="601A5F9E" w14:textId="77777777" w:rsidTr="00AF47D0">
        <w:tc>
          <w:tcPr>
            <w:tcW w:w="3116" w:type="dxa"/>
          </w:tcPr>
          <w:p w14:paraId="25FA0103" w14:textId="37D63C9E" w:rsidR="00AF47D0" w:rsidRDefault="00AF47D0" w:rsidP="00AF47D0">
            <w:pPr>
              <w:contextualSpacing/>
              <w:jc w:val="center"/>
              <w:rPr>
                <w:b/>
                <w:bCs/>
                <w:color w:val="44546A" w:themeColor="text2"/>
              </w:rPr>
            </w:pPr>
            <w:r>
              <w:rPr>
                <w:b/>
                <w:bCs/>
                <w:color w:val="44546A" w:themeColor="text2"/>
              </w:rPr>
              <w:t>Location</w:t>
            </w:r>
          </w:p>
        </w:tc>
        <w:tc>
          <w:tcPr>
            <w:tcW w:w="3117" w:type="dxa"/>
          </w:tcPr>
          <w:p w14:paraId="0305A955" w14:textId="116D07C3" w:rsidR="00AF47D0" w:rsidRDefault="00AF47D0" w:rsidP="00AF47D0">
            <w:pPr>
              <w:contextualSpacing/>
              <w:jc w:val="center"/>
              <w:rPr>
                <w:b/>
                <w:bCs/>
                <w:color w:val="44546A" w:themeColor="text2"/>
              </w:rPr>
            </w:pPr>
            <w:r>
              <w:rPr>
                <w:b/>
                <w:bCs/>
                <w:color w:val="44546A" w:themeColor="text2"/>
              </w:rPr>
              <w:t>What</w:t>
            </w:r>
          </w:p>
        </w:tc>
        <w:tc>
          <w:tcPr>
            <w:tcW w:w="3117" w:type="dxa"/>
          </w:tcPr>
          <w:p w14:paraId="0B3DE22C" w14:textId="266E01D7" w:rsidR="00AF47D0" w:rsidRDefault="00AF47D0" w:rsidP="00AF47D0">
            <w:pPr>
              <w:contextualSpacing/>
              <w:jc w:val="center"/>
              <w:rPr>
                <w:b/>
                <w:bCs/>
                <w:color w:val="44546A" w:themeColor="text2"/>
              </w:rPr>
            </w:pPr>
            <w:r>
              <w:rPr>
                <w:b/>
                <w:bCs/>
                <w:color w:val="44546A" w:themeColor="text2"/>
              </w:rPr>
              <w:t>Number of Days</w:t>
            </w:r>
          </w:p>
        </w:tc>
      </w:tr>
      <w:tr w:rsidR="00AF47D0" w14:paraId="2437FB83" w14:textId="77777777" w:rsidTr="00AF47D0">
        <w:tc>
          <w:tcPr>
            <w:tcW w:w="3116" w:type="dxa"/>
          </w:tcPr>
          <w:p w14:paraId="6ED3129E" w14:textId="7DAEFC43" w:rsidR="00AF47D0" w:rsidRPr="00AF47D0" w:rsidRDefault="00AF47D0" w:rsidP="006D0501">
            <w:pPr>
              <w:contextualSpacing/>
              <w:jc w:val="both"/>
            </w:pPr>
            <w:r w:rsidRPr="00AF47D0">
              <w:t>Homebase</w:t>
            </w:r>
            <w:r>
              <w:t>*</w:t>
            </w:r>
          </w:p>
        </w:tc>
        <w:tc>
          <w:tcPr>
            <w:tcW w:w="3117" w:type="dxa"/>
          </w:tcPr>
          <w:p w14:paraId="327E2D56" w14:textId="04365F17" w:rsidR="00AF47D0" w:rsidRPr="00AF47D0" w:rsidRDefault="00AF47D0" w:rsidP="006D0501">
            <w:pPr>
              <w:contextualSpacing/>
              <w:jc w:val="both"/>
            </w:pPr>
            <w:r w:rsidRPr="00AF47D0">
              <w:t>FCS Review</w:t>
            </w:r>
          </w:p>
        </w:tc>
        <w:tc>
          <w:tcPr>
            <w:tcW w:w="3117" w:type="dxa"/>
          </w:tcPr>
          <w:p w14:paraId="2D9E127C" w14:textId="34EAA7DC" w:rsidR="00AF47D0" w:rsidRPr="00AF47D0" w:rsidRDefault="00AF47D0" w:rsidP="006D0501">
            <w:pPr>
              <w:contextualSpacing/>
              <w:jc w:val="both"/>
            </w:pPr>
            <w:r>
              <w:t>3</w:t>
            </w:r>
          </w:p>
        </w:tc>
      </w:tr>
      <w:tr w:rsidR="00AF47D0" w14:paraId="750746EF" w14:textId="77777777" w:rsidTr="00AF47D0">
        <w:tc>
          <w:tcPr>
            <w:tcW w:w="3116" w:type="dxa"/>
          </w:tcPr>
          <w:p w14:paraId="12B8899D" w14:textId="298BBD18" w:rsidR="00AF47D0" w:rsidRPr="00AF47D0" w:rsidRDefault="00957A45" w:rsidP="006D0501">
            <w:pPr>
              <w:contextualSpacing/>
              <w:jc w:val="both"/>
            </w:pPr>
            <w:proofErr w:type="spellStart"/>
            <w:r>
              <w:t>Tak</w:t>
            </w:r>
            <w:proofErr w:type="spellEnd"/>
            <w:r>
              <w:t xml:space="preserve"> Province, </w:t>
            </w:r>
            <w:r w:rsidR="00AF47D0">
              <w:t>Thailand</w:t>
            </w:r>
          </w:p>
        </w:tc>
        <w:tc>
          <w:tcPr>
            <w:tcW w:w="3117" w:type="dxa"/>
          </w:tcPr>
          <w:p w14:paraId="4C840847" w14:textId="25F1DF30" w:rsidR="00AF47D0" w:rsidRPr="00AF47D0" w:rsidRDefault="00AF47D0" w:rsidP="006D0501">
            <w:pPr>
              <w:contextualSpacing/>
              <w:jc w:val="both"/>
            </w:pPr>
            <w:r>
              <w:t>Field Visits</w:t>
            </w:r>
          </w:p>
        </w:tc>
        <w:tc>
          <w:tcPr>
            <w:tcW w:w="3117" w:type="dxa"/>
          </w:tcPr>
          <w:p w14:paraId="003E6723" w14:textId="4B0BEB96" w:rsidR="00AF47D0" w:rsidRPr="00AF47D0" w:rsidRDefault="00AF47D0" w:rsidP="006D0501">
            <w:pPr>
              <w:contextualSpacing/>
              <w:jc w:val="both"/>
            </w:pPr>
            <w:r>
              <w:t>5</w:t>
            </w:r>
          </w:p>
        </w:tc>
      </w:tr>
      <w:tr w:rsidR="00AF47D0" w14:paraId="6AF21301" w14:textId="77777777" w:rsidTr="00AF47D0">
        <w:tc>
          <w:tcPr>
            <w:tcW w:w="3116" w:type="dxa"/>
          </w:tcPr>
          <w:p w14:paraId="333938E3" w14:textId="1D013FD1" w:rsidR="00AF47D0" w:rsidRPr="00AF47D0" w:rsidRDefault="00957A45" w:rsidP="006D0501">
            <w:pPr>
              <w:contextualSpacing/>
              <w:jc w:val="both"/>
            </w:pPr>
            <w:r>
              <w:t xml:space="preserve">Bangkok, </w:t>
            </w:r>
            <w:r w:rsidR="00AF47D0">
              <w:t>Thailand</w:t>
            </w:r>
          </w:p>
        </w:tc>
        <w:tc>
          <w:tcPr>
            <w:tcW w:w="3117" w:type="dxa"/>
          </w:tcPr>
          <w:p w14:paraId="35481A48" w14:textId="5E98541B" w:rsidR="00AF47D0" w:rsidRPr="00AF47D0" w:rsidRDefault="00AF47D0" w:rsidP="006D0501">
            <w:pPr>
              <w:contextualSpacing/>
              <w:jc w:val="both"/>
            </w:pPr>
            <w:r>
              <w:t>Compiling the Data</w:t>
            </w:r>
          </w:p>
        </w:tc>
        <w:tc>
          <w:tcPr>
            <w:tcW w:w="3117" w:type="dxa"/>
          </w:tcPr>
          <w:p w14:paraId="2A251061" w14:textId="4F0ABA3D" w:rsidR="00AF47D0" w:rsidRPr="00AF47D0" w:rsidRDefault="00AF47D0" w:rsidP="006D0501">
            <w:pPr>
              <w:contextualSpacing/>
              <w:jc w:val="both"/>
            </w:pPr>
            <w:r>
              <w:t>3</w:t>
            </w:r>
          </w:p>
        </w:tc>
      </w:tr>
      <w:tr w:rsidR="00AF47D0" w14:paraId="76C1CFE0" w14:textId="77777777" w:rsidTr="00AF47D0">
        <w:tc>
          <w:tcPr>
            <w:tcW w:w="3116" w:type="dxa"/>
          </w:tcPr>
          <w:p w14:paraId="63D00F49" w14:textId="4FB39D37" w:rsidR="00AF47D0" w:rsidRPr="00AF47D0" w:rsidRDefault="00957A45" w:rsidP="006D0501">
            <w:pPr>
              <w:contextualSpacing/>
              <w:jc w:val="both"/>
            </w:pPr>
            <w:r>
              <w:t xml:space="preserve">Bangkok, </w:t>
            </w:r>
            <w:r w:rsidR="00AF47D0">
              <w:t>Thailand</w:t>
            </w:r>
          </w:p>
        </w:tc>
        <w:tc>
          <w:tcPr>
            <w:tcW w:w="3117" w:type="dxa"/>
          </w:tcPr>
          <w:p w14:paraId="3FE76286" w14:textId="7F9D7177" w:rsidR="00AF47D0" w:rsidRPr="00AF47D0" w:rsidRDefault="00AF47D0" w:rsidP="006D0501">
            <w:pPr>
              <w:contextualSpacing/>
              <w:jc w:val="both"/>
            </w:pPr>
            <w:r>
              <w:t>Draft Report</w:t>
            </w:r>
          </w:p>
        </w:tc>
        <w:tc>
          <w:tcPr>
            <w:tcW w:w="3117" w:type="dxa"/>
          </w:tcPr>
          <w:p w14:paraId="2ABB83F3" w14:textId="794AC156" w:rsidR="00AF47D0" w:rsidRPr="00AF47D0" w:rsidRDefault="00AF47D0" w:rsidP="006D0501">
            <w:pPr>
              <w:contextualSpacing/>
              <w:jc w:val="both"/>
            </w:pPr>
            <w:r>
              <w:t>2</w:t>
            </w:r>
          </w:p>
        </w:tc>
      </w:tr>
      <w:tr w:rsidR="00AF47D0" w14:paraId="33E2A6D2" w14:textId="77777777" w:rsidTr="008B06FA">
        <w:tc>
          <w:tcPr>
            <w:tcW w:w="9350" w:type="dxa"/>
            <w:gridSpan w:val="3"/>
          </w:tcPr>
          <w:p w14:paraId="22410828" w14:textId="3C6C4A22" w:rsidR="00AF47D0" w:rsidRPr="00AF47D0" w:rsidRDefault="00AF47D0" w:rsidP="00AF47D0">
            <w:pPr>
              <w:contextualSpacing/>
              <w:jc w:val="center"/>
              <w:rPr>
                <w:i/>
                <w:iCs/>
              </w:rPr>
            </w:pPr>
            <w:r w:rsidRPr="00AF47D0">
              <w:rPr>
                <w:i/>
                <w:iCs/>
              </w:rPr>
              <w:t>TBC Review and Feedback</w:t>
            </w:r>
          </w:p>
        </w:tc>
      </w:tr>
      <w:tr w:rsidR="00AF47D0" w14:paraId="6855C694" w14:textId="77777777" w:rsidTr="00AF47D0">
        <w:tc>
          <w:tcPr>
            <w:tcW w:w="3116" w:type="dxa"/>
          </w:tcPr>
          <w:p w14:paraId="6BA0D0FF" w14:textId="0CC2CF18" w:rsidR="00AF47D0" w:rsidRDefault="00957A45" w:rsidP="006D0501">
            <w:pPr>
              <w:contextualSpacing/>
              <w:jc w:val="both"/>
            </w:pPr>
            <w:r>
              <w:lastRenderedPageBreak/>
              <w:t xml:space="preserve">Bangkok, </w:t>
            </w:r>
            <w:r w:rsidR="00AF47D0">
              <w:t>Thailand</w:t>
            </w:r>
          </w:p>
        </w:tc>
        <w:tc>
          <w:tcPr>
            <w:tcW w:w="3117" w:type="dxa"/>
          </w:tcPr>
          <w:p w14:paraId="137EBE9A" w14:textId="42892BF3" w:rsidR="00AF47D0" w:rsidRDefault="00AF47D0" w:rsidP="006D0501">
            <w:pPr>
              <w:contextualSpacing/>
              <w:jc w:val="both"/>
            </w:pPr>
            <w:r>
              <w:t>Final Report</w:t>
            </w:r>
          </w:p>
        </w:tc>
        <w:tc>
          <w:tcPr>
            <w:tcW w:w="3117" w:type="dxa"/>
          </w:tcPr>
          <w:p w14:paraId="0062C615" w14:textId="2367D1A9" w:rsidR="00AF47D0" w:rsidRDefault="00AF47D0" w:rsidP="006D0501">
            <w:pPr>
              <w:contextualSpacing/>
              <w:jc w:val="both"/>
            </w:pPr>
            <w:r>
              <w:t>2</w:t>
            </w:r>
          </w:p>
        </w:tc>
      </w:tr>
      <w:tr w:rsidR="00AF47D0" w14:paraId="63F27AAE" w14:textId="77777777" w:rsidTr="00AF47D0">
        <w:tc>
          <w:tcPr>
            <w:tcW w:w="3116" w:type="dxa"/>
          </w:tcPr>
          <w:p w14:paraId="672DBB96" w14:textId="026BDA76" w:rsidR="00AF47D0" w:rsidRDefault="00957A45" w:rsidP="006D0501">
            <w:pPr>
              <w:contextualSpacing/>
              <w:jc w:val="both"/>
            </w:pPr>
            <w:r>
              <w:t xml:space="preserve">Bangkok, </w:t>
            </w:r>
            <w:r w:rsidR="00AF47D0">
              <w:t>Thailand</w:t>
            </w:r>
          </w:p>
        </w:tc>
        <w:tc>
          <w:tcPr>
            <w:tcW w:w="3117" w:type="dxa"/>
          </w:tcPr>
          <w:p w14:paraId="6082546A" w14:textId="612DE024" w:rsidR="00AF47D0" w:rsidRPr="00AF47D0" w:rsidRDefault="00AF47D0" w:rsidP="006D0501">
            <w:pPr>
              <w:contextualSpacing/>
              <w:jc w:val="both"/>
            </w:pPr>
            <w:r>
              <w:t>Presentation Preparation</w:t>
            </w:r>
          </w:p>
        </w:tc>
        <w:tc>
          <w:tcPr>
            <w:tcW w:w="3117" w:type="dxa"/>
          </w:tcPr>
          <w:p w14:paraId="02ED4812" w14:textId="7D46E28F" w:rsidR="00AF47D0" w:rsidRPr="00AF47D0" w:rsidRDefault="00AF47D0" w:rsidP="006D0501">
            <w:pPr>
              <w:contextualSpacing/>
              <w:jc w:val="both"/>
            </w:pPr>
            <w:r>
              <w:t>2</w:t>
            </w:r>
          </w:p>
        </w:tc>
      </w:tr>
      <w:tr w:rsidR="00AF47D0" w14:paraId="100BD772" w14:textId="77777777" w:rsidTr="00AF47D0">
        <w:tc>
          <w:tcPr>
            <w:tcW w:w="3116" w:type="dxa"/>
          </w:tcPr>
          <w:p w14:paraId="61E1F6C2" w14:textId="4502AC75" w:rsidR="00AF47D0" w:rsidRDefault="00957A45" w:rsidP="006D0501">
            <w:pPr>
              <w:contextualSpacing/>
              <w:jc w:val="both"/>
            </w:pPr>
            <w:r>
              <w:t xml:space="preserve">Bangkok, </w:t>
            </w:r>
            <w:r w:rsidR="00AF47D0">
              <w:t>Thailand</w:t>
            </w:r>
          </w:p>
        </w:tc>
        <w:tc>
          <w:tcPr>
            <w:tcW w:w="3117" w:type="dxa"/>
          </w:tcPr>
          <w:p w14:paraId="34C469DD" w14:textId="5C208777" w:rsidR="00AF47D0" w:rsidRPr="00AF47D0" w:rsidRDefault="00AF47D0" w:rsidP="006D0501">
            <w:pPr>
              <w:contextualSpacing/>
              <w:jc w:val="both"/>
            </w:pPr>
            <w:r>
              <w:t>Presentation Delivery and Feedback</w:t>
            </w:r>
          </w:p>
        </w:tc>
        <w:tc>
          <w:tcPr>
            <w:tcW w:w="3117" w:type="dxa"/>
          </w:tcPr>
          <w:p w14:paraId="6E1E00A6" w14:textId="66F9BE1D" w:rsidR="00AF47D0" w:rsidRPr="00AF47D0" w:rsidRDefault="00AF47D0" w:rsidP="006D0501">
            <w:pPr>
              <w:contextualSpacing/>
              <w:jc w:val="both"/>
            </w:pPr>
            <w:r>
              <w:t>1</w:t>
            </w:r>
          </w:p>
        </w:tc>
      </w:tr>
      <w:tr w:rsidR="00AF47D0" w:rsidRPr="00324110" w14:paraId="111718CB" w14:textId="77777777" w:rsidTr="00AF47D0">
        <w:tc>
          <w:tcPr>
            <w:tcW w:w="3116" w:type="dxa"/>
          </w:tcPr>
          <w:p w14:paraId="0EE1C738" w14:textId="3D109558" w:rsidR="00AF47D0" w:rsidRPr="00324110" w:rsidRDefault="00AF47D0" w:rsidP="006D0501">
            <w:pPr>
              <w:contextualSpacing/>
              <w:jc w:val="both"/>
            </w:pPr>
            <w:r w:rsidRPr="00324110">
              <w:t>Homebase*</w:t>
            </w:r>
          </w:p>
        </w:tc>
        <w:tc>
          <w:tcPr>
            <w:tcW w:w="3117" w:type="dxa"/>
          </w:tcPr>
          <w:p w14:paraId="06A468F8" w14:textId="0D87CCEB" w:rsidR="00AF47D0" w:rsidRPr="00324110" w:rsidRDefault="00AF47D0" w:rsidP="006D0501">
            <w:pPr>
              <w:contextualSpacing/>
              <w:jc w:val="both"/>
            </w:pPr>
            <w:r w:rsidRPr="00324110">
              <w:t>Summary Report on Presentation Discussion and Feedback</w:t>
            </w:r>
          </w:p>
        </w:tc>
        <w:tc>
          <w:tcPr>
            <w:tcW w:w="3117" w:type="dxa"/>
          </w:tcPr>
          <w:p w14:paraId="6C5B995B" w14:textId="2DCCF9F6" w:rsidR="00AF47D0" w:rsidRPr="00324110" w:rsidRDefault="00AF47D0" w:rsidP="006D0501">
            <w:pPr>
              <w:contextualSpacing/>
              <w:jc w:val="both"/>
            </w:pPr>
            <w:r w:rsidRPr="00324110">
              <w:t>1</w:t>
            </w:r>
          </w:p>
        </w:tc>
      </w:tr>
      <w:tr w:rsidR="00D45015" w:rsidRPr="00324110" w14:paraId="686099F9" w14:textId="77777777" w:rsidTr="00A80C29">
        <w:tc>
          <w:tcPr>
            <w:tcW w:w="6233" w:type="dxa"/>
            <w:gridSpan w:val="2"/>
          </w:tcPr>
          <w:p w14:paraId="7324C1B3" w14:textId="33E40225" w:rsidR="00D45015" w:rsidRPr="00D45015" w:rsidRDefault="00E6342E" w:rsidP="00E6342E">
            <w:pPr>
              <w:contextualSpacing/>
              <w:jc w:val="center"/>
              <w:rPr>
                <w:b/>
                <w:bCs/>
              </w:rPr>
            </w:pPr>
            <w:r>
              <w:rPr>
                <w:b/>
                <w:bCs/>
              </w:rPr>
              <w:t xml:space="preserve">Approximate </w:t>
            </w:r>
            <w:r w:rsidR="00D45015" w:rsidRPr="00D45015">
              <w:rPr>
                <w:b/>
                <w:bCs/>
              </w:rPr>
              <w:t xml:space="preserve">Total Number of </w:t>
            </w:r>
            <w:r>
              <w:rPr>
                <w:b/>
                <w:bCs/>
              </w:rPr>
              <w:t>Work</w:t>
            </w:r>
            <w:r w:rsidRPr="00D45015">
              <w:rPr>
                <w:b/>
                <w:bCs/>
              </w:rPr>
              <w:t>days</w:t>
            </w:r>
          </w:p>
        </w:tc>
        <w:tc>
          <w:tcPr>
            <w:tcW w:w="3117" w:type="dxa"/>
          </w:tcPr>
          <w:p w14:paraId="6427DD45" w14:textId="1926C9EE" w:rsidR="00D45015" w:rsidRPr="00324110" w:rsidRDefault="00D45015" w:rsidP="00E6342E">
            <w:pPr>
              <w:contextualSpacing/>
              <w:jc w:val="center"/>
            </w:pPr>
            <w:r>
              <w:t>19</w:t>
            </w:r>
          </w:p>
        </w:tc>
      </w:tr>
    </w:tbl>
    <w:p w14:paraId="537EE5D6" w14:textId="187D2775" w:rsidR="006D0501" w:rsidRPr="00324110" w:rsidRDefault="00AF47D0" w:rsidP="006D0501">
      <w:r w:rsidRPr="00324110">
        <w:t>*International travel as required if one’s homebase is not in Thailand.</w:t>
      </w:r>
    </w:p>
    <w:p w14:paraId="15543816" w14:textId="3C6968A8" w:rsidR="00324110" w:rsidRDefault="006D0501" w:rsidP="006D0501">
      <w:pPr>
        <w:contextualSpacing/>
        <w:jc w:val="both"/>
      </w:pPr>
      <w:r w:rsidRPr="00DA0B22">
        <w:rPr>
          <w:b/>
          <w:bCs/>
          <w:color w:val="44546A" w:themeColor="text2"/>
        </w:rPr>
        <w:t xml:space="preserve">V. </w:t>
      </w:r>
      <w:r>
        <w:rPr>
          <w:b/>
          <w:bCs/>
          <w:color w:val="44546A" w:themeColor="text2"/>
        </w:rPr>
        <w:t>How to Apply</w:t>
      </w:r>
      <w:r w:rsidRPr="00DA0B22">
        <w:rPr>
          <w:b/>
          <w:bCs/>
          <w:color w:val="44546A" w:themeColor="text2"/>
        </w:rPr>
        <w:t>:</w:t>
      </w:r>
    </w:p>
    <w:p w14:paraId="32E0D4B7" w14:textId="77777777" w:rsidR="00E6342E" w:rsidRPr="00DA0B22" w:rsidRDefault="00E6342E" w:rsidP="006D0501">
      <w:pPr>
        <w:contextualSpacing/>
        <w:jc w:val="both"/>
      </w:pPr>
    </w:p>
    <w:p w14:paraId="22CD3692" w14:textId="74FC8A96" w:rsidR="006D0501" w:rsidRDefault="006D0501" w:rsidP="00324110">
      <w:pPr>
        <w:contextualSpacing/>
        <w:jc w:val="both"/>
      </w:pPr>
      <w:r>
        <w:t xml:space="preserve">Interested consultants should send </w:t>
      </w:r>
      <w:r w:rsidR="00324110">
        <w:t xml:space="preserve">a </w:t>
      </w:r>
      <w:r>
        <w:t>technical and financial proposal</w:t>
      </w:r>
      <w:r w:rsidR="00324110">
        <w:t>, resume/CV including 2 references, and a cover letter</w:t>
      </w:r>
      <w:r>
        <w:t xml:space="preserve"> </w:t>
      </w:r>
      <w:r w:rsidR="00324110" w:rsidRPr="00324110">
        <w:t>explaining</w:t>
      </w:r>
      <w:r w:rsidR="00324110">
        <w:t xml:space="preserve"> one’s </w:t>
      </w:r>
      <w:r w:rsidR="00F57945">
        <w:t xml:space="preserve">suitability </w:t>
      </w:r>
      <w:r w:rsidRPr="00C6174A">
        <w:t xml:space="preserve">no later than </w:t>
      </w:r>
      <w:r w:rsidR="00324110">
        <w:rPr>
          <w:b/>
          <w:bCs/>
        </w:rPr>
        <w:t>April 28, 2023</w:t>
      </w:r>
      <w:r>
        <w:t xml:space="preserve"> to </w:t>
      </w:r>
      <w:hyperlink r:id="rId7" w:history="1">
        <w:r w:rsidR="00324110" w:rsidRPr="002923C4">
          <w:rPr>
            <w:rStyle w:val="Hyperlink"/>
          </w:rPr>
          <w:t>hr@theborderconsortium.org</w:t>
        </w:r>
      </w:hyperlink>
      <w:r>
        <w:t xml:space="preserve"> clearly indicating on the subject line:</w:t>
      </w:r>
      <w:r w:rsidR="00324110">
        <w:t xml:space="preserve"> </w:t>
      </w:r>
      <w:r>
        <w:t>“</w:t>
      </w:r>
      <w:r w:rsidRPr="00F57945">
        <w:rPr>
          <w:b/>
          <w:bCs/>
        </w:rPr>
        <w:t>Proposal for TBC Food Card System</w:t>
      </w:r>
      <w:r w:rsidR="00324110">
        <w:t>.</w:t>
      </w:r>
      <w:r>
        <w:t>”</w:t>
      </w:r>
      <w:r w:rsidR="00324110" w:rsidRPr="00324110">
        <w:t xml:space="preserve"> Only short-listed candidates will be contacted.</w:t>
      </w:r>
      <w:r w:rsidR="00D45015">
        <w:t xml:space="preserve"> The successful applicant will be chosen in May and must be available to complete </w:t>
      </w:r>
      <w:proofErr w:type="gramStart"/>
      <w:r w:rsidR="00D45015">
        <w:t>all of</w:t>
      </w:r>
      <w:proofErr w:type="gramEnd"/>
      <w:r w:rsidR="00D45015">
        <w:t xml:space="preserve"> the required </w:t>
      </w:r>
      <w:r w:rsidR="00E6342E">
        <w:t>workdays</w:t>
      </w:r>
      <w:r w:rsidR="00D45015">
        <w:t xml:space="preserve"> (see table above) in June. </w:t>
      </w:r>
    </w:p>
    <w:p w14:paraId="7187E479" w14:textId="77777777" w:rsidR="00324110" w:rsidRDefault="00324110" w:rsidP="00324110">
      <w:pPr>
        <w:contextualSpacing/>
        <w:jc w:val="both"/>
      </w:pPr>
    </w:p>
    <w:p w14:paraId="35B338F6" w14:textId="77777777" w:rsidR="006D0501" w:rsidRPr="0043485B" w:rsidRDefault="006D0501" w:rsidP="006D0501">
      <w:pPr>
        <w:contextualSpacing/>
        <w:jc w:val="both"/>
      </w:pPr>
      <w:r w:rsidRPr="00DA0B22">
        <w:rPr>
          <w:b/>
          <w:bCs/>
          <w:color w:val="44546A" w:themeColor="text2"/>
        </w:rPr>
        <w:t>V</w:t>
      </w:r>
      <w:r>
        <w:rPr>
          <w:b/>
          <w:bCs/>
          <w:color w:val="44546A" w:themeColor="text2"/>
        </w:rPr>
        <w:t>I</w:t>
      </w:r>
      <w:r w:rsidRPr="00DA0B22">
        <w:rPr>
          <w:b/>
          <w:bCs/>
          <w:color w:val="44546A" w:themeColor="text2"/>
        </w:rPr>
        <w:t xml:space="preserve">. </w:t>
      </w:r>
      <w:r>
        <w:rPr>
          <w:b/>
          <w:bCs/>
          <w:color w:val="44546A" w:themeColor="text2"/>
        </w:rPr>
        <w:t>Communication and Response</w:t>
      </w:r>
      <w:r>
        <w:t>:</w:t>
      </w:r>
    </w:p>
    <w:p w14:paraId="379CF881" w14:textId="77777777" w:rsidR="006D0501" w:rsidRDefault="006D0501" w:rsidP="006D0501">
      <w:pPr>
        <w:spacing w:after="0" w:line="240" w:lineRule="auto"/>
        <w:contextualSpacing/>
        <w:rPr>
          <w:b/>
          <w:bCs/>
        </w:rPr>
      </w:pPr>
    </w:p>
    <w:p w14:paraId="2338A579" w14:textId="5F9BC438" w:rsidR="00324110" w:rsidRDefault="00324110" w:rsidP="006D0501">
      <w:pPr>
        <w:pStyle w:val="BodyTextIndent"/>
        <w:keepNext/>
        <w:keepLines/>
        <w:spacing w:before="0" w:after="60"/>
        <w:ind w:left="0" w:right="-420"/>
        <w:rPr>
          <w:rFonts w:asciiTheme="minorHAnsi" w:hAnsiTheme="minorHAnsi"/>
          <w:sz w:val="22"/>
          <w:szCs w:val="22"/>
        </w:rPr>
      </w:pPr>
      <w:r>
        <w:rPr>
          <w:rFonts w:asciiTheme="minorHAnsi" w:hAnsiTheme="minorHAnsi"/>
          <w:sz w:val="22"/>
          <w:szCs w:val="22"/>
        </w:rPr>
        <w:t xml:space="preserve">Dr. </w:t>
      </w:r>
      <w:r w:rsidR="006D0501">
        <w:rPr>
          <w:rFonts w:asciiTheme="minorHAnsi" w:hAnsiTheme="minorHAnsi"/>
          <w:sz w:val="22"/>
          <w:szCs w:val="22"/>
        </w:rPr>
        <w:t>Timothy Moore</w:t>
      </w:r>
      <w:r>
        <w:rPr>
          <w:rFonts w:asciiTheme="minorHAnsi" w:hAnsiTheme="minorHAnsi"/>
          <w:sz w:val="22"/>
          <w:szCs w:val="22"/>
        </w:rPr>
        <w:t xml:space="preserve"> (Acting Co-Executive Director)</w:t>
      </w:r>
      <w:r w:rsidR="006D0501" w:rsidRPr="009920B0">
        <w:rPr>
          <w:rFonts w:asciiTheme="minorHAnsi" w:hAnsiTheme="minorHAnsi"/>
          <w:sz w:val="22"/>
          <w:szCs w:val="22"/>
        </w:rPr>
        <w:t xml:space="preserve"> is the designated TBC representative for this initiative.  For any</w:t>
      </w:r>
      <w:r>
        <w:rPr>
          <w:rFonts w:asciiTheme="minorHAnsi" w:hAnsiTheme="minorHAnsi"/>
          <w:sz w:val="22"/>
          <w:szCs w:val="22"/>
        </w:rPr>
        <w:t xml:space="preserve"> additional</w:t>
      </w:r>
      <w:r w:rsidR="006D0501" w:rsidRPr="009920B0">
        <w:rPr>
          <w:rFonts w:asciiTheme="minorHAnsi" w:hAnsiTheme="minorHAnsi"/>
          <w:sz w:val="22"/>
          <w:szCs w:val="22"/>
        </w:rPr>
        <w:t xml:space="preserve"> information relative to this </w:t>
      </w:r>
      <w:r w:rsidR="006D0501">
        <w:rPr>
          <w:rFonts w:asciiTheme="minorHAnsi" w:hAnsiTheme="minorHAnsi"/>
          <w:sz w:val="22"/>
          <w:szCs w:val="22"/>
        </w:rPr>
        <w:t>T</w:t>
      </w:r>
      <w:r>
        <w:rPr>
          <w:rFonts w:asciiTheme="minorHAnsi" w:hAnsiTheme="minorHAnsi"/>
          <w:sz w:val="22"/>
          <w:szCs w:val="22"/>
        </w:rPr>
        <w:t>OR</w:t>
      </w:r>
      <w:r w:rsidR="006D0501" w:rsidRPr="009920B0">
        <w:rPr>
          <w:rFonts w:asciiTheme="minorHAnsi" w:hAnsiTheme="minorHAnsi"/>
          <w:sz w:val="22"/>
          <w:szCs w:val="22"/>
        </w:rPr>
        <w:t>, please direct all inquiries</w:t>
      </w:r>
      <w:r w:rsidR="006D0501">
        <w:rPr>
          <w:rFonts w:asciiTheme="minorHAnsi" w:hAnsiTheme="minorHAnsi"/>
          <w:sz w:val="22"/>
          <w:szCs w:val="22"/>
        </w:rPr>
        <w:t xml:space="preserve"> as follows</w:t>
      </w:r>
      <w:r w:rsidR="006D0501" w:rsidRPr="009920B0">
        <w:rPr>
          <w:rFonts w:asciiTheme="minorHAnsi" w:hAnsiTheme="minorHAnsi"/>
          <w:sz w:val="22"/>
          <w:szCs w:val="22"/>
        </w:rPr>
        <w:t>:</w:t>
      </w:r>
    </w:p>
    <w:p w14:paraId="75C388A9" w14:textId="77777777" w:rsidR="00324110" w:rsidRPr="009920B0" w:rsidRDefault="00324110" w:rsidP="006D0501">
      <w:pPr>
        <w:pStyle w:val="BodyTextIndent"/>
        <w:keepNext/>
        <w:keepLines/>
        <w:spacing w:before="0" w:after="60"/>
        <w:ind w:left="0" w:right="-420"/>
        <w:rPr>
          <w:rFonts w:asciiTheme="minorHAnsi" w:hAnsiTheme="minorHAnsi"/>
          <w:sz w:val="22"/>
          <w:szCs w:val="22"/>
        </w:rPr>
      </w:pPr>
    </w:p>
    <w:p w14:paraId="596D2329" w14:textId="5DB15535" w:rsidR="006D0501" w:rsidRPr="009920B0" w:rsidRDefault="006D0501" w:rsidP="00324110">
      <w:pPr>
        <w:pStyle w:val="BodyTextIndent"/>
        <w:keepNext/>
        <w:keepLines/>
        <w:spacing w:before="0" w:after="60"/>
        <w:ind w:left="0" w:right="-420"/>
        <w:rPr>
          <w:rFonts w:asciiTheme="minorHAnsi" w:hAnsiTheme="minorHAnsi"/>
          <w:i/>
          <w:iCs/>
          <w:sz w:val="22"/>
          <w:szCs w:val="22"/>
        </w:rPr>
      </w:pPr>
      <w:r w:rsidRPr="009920B0">
        <w:rPr>
          <w:rFonts w:asciiTheme="minorHAnsi" w:hAnsiTheme="minorHAnsi"/>
          <w:i/>
          <w:iCs/>
          <w:sz w:val="22"/>
          <w:szCs w:val="22"/>
        </w:rPr>
        <w:t xml:space="preserve">Tel: </w:t>
      </w:r>
      <w:r w:rsidR="00324110" w:rsidRPr="00324110">
        <w:rPr>
          <w:rFonts w:asciiTheme="minorHAnsi" w:hAnsiTheme="minorHAnsi"/>
          <w:i/>
          <w:iCs/>
          <w:sz w:val="22"/>
          <w:szCs w:val="22"/>
        </w:rPr>
        <w:t>+66 (0) 2238-5027-8</w:t>
      </w:r>
    </w:p>
    <w:p w14:paraId="5F4695C2" w14:textId="08926004" w:rsidR="006D0501" w:rsidRPr="00324110" w:rsidRDefault="006D0501" w:rsidP="00324110">
      <w:pPr>
        <w:pStyle w:val="BodyTextIndent"/>
        <w:keepNext/>
        <w:keepLines/>
        <w:spacing w:before="0" w:after="60"/>
        <w:ind w:left="0" w:right="-420"/>
        <w:rPr>
          <w:rFonts w:asciiTheme="minorHAnsi" w:hAnsiTheme="minorHAnsi"/>
          <w:i/>
          <w:iCs/>
          <w:sz w:val="22"/>
          <w:szCs w:val="22"/>
        </w:rPr>
      </w:pPr>
      <w:r>
        <w:rPr>
          <w:rFonts w:asciiTheme="minorHAnsi" w:hAnsiTheme="minorHAnsi"/>
          <w:i/>
          <w:iCs/>
          <w:sz w:val="22"/>
          <w:szCs w:val="22"/>
        </w:rPr>
        <w:t>E-mail: tim@theborderconsortium.org</w:t>
      </w:r>
    </w:p>
    <w:p w14:paraId="31EC1855" w14:textId="77777777" w:rsidR="006D0501" w:rsidRDefault="006D0501" w:rsidP="006D0501">
      <w:pPr>
        <w:contextualSpacing/>
        <w:jc w:val="both"/>
        <w:rPr>
          <w:b/>
          <w:bCs/>
          <w:color w:val="44546A" w:themeColor="text2"/>
        </w:rPr>
      </w:pPr>
    </w:p>
    <w:p w14:paraId="496E3B16" w14:textId="1585ACA7" w:rsidR="006D0501" w:rsidRPr="0043485B" w:rsidRDefault="006D0501" w:rsidP="006D0501">
      <w:pPr>
        <w:contextualSpacing/>
        <w:jc w:val="both"/>
      </w:pPr>
      <w:r w:rsidRPr="00DA0B22">
        <w:rPr>
          <w:b/>
          <w:bCs/>
          <w:color w:val="44546A" w:themeColor="text2"/>
        </w:rPr>
        <w:t>V</w:t>
      </w:r>
      <w:r>
        <w:rPr>
          <w:b/>
          <w:bCs/>
          <w:color w:val="44546A" w:themeColor="text2"/>
        </w:rPr>
        <w:t>II</w:t>
      </w:r>
      <w:r w:rsidRPr="00DA0B22">
        <w:rPr>
          <w:b/>
          <w:bCs/>
          <w:color w:val="44546A" w:themeColor="text2"/>
        </w:rPr>
        <w:t xml:space="preserve">. </w:t>
      </w:r>
      <w:r>
        <w:rPr>
          <w:b/>
          <w:bCs/>
          <w:color w:val="44546A" w:themeColor="text2"/>
        </w:rPr>
        <w:t>No Obligation</w:t>
      </w:r>
      <w:r w:rsidR="00324110">
        <w:rPr>
          <w:b/>
          <w:bCs/>
          <w:color w:val="44546A" w:themeColor="text2"/>
        </w:rPr>
        <w:t xml:space="preserve"> Clause</w:t>
      </w:r>
      <w:r>
        <w:t>:</w:t>
      </w:r>
    </w:p>
    <w:p w14:paraId="24DD9C67" w14:textId="77777777" w:rsidR="006D0501" w:rsidRDefault="006D0501" w:rsidP="006D0501">
      <w:pPr>
        <w:spacing w:after="0" w:line="240" w:lineRule="auto"/>
        <w:contextualSpacing/>
        <w:rPr>
          <w:b/>
          <w:bCs/>
        </w:rPr>
      </w:pPr>
    </w:p>
    <w:p w14:paraId="64C5D3FD" w14:textId="0C5C6782" w:rsidR="006D0501" w:rsidRDefault="006D0501" w:rsidP="006D0501">
      <w:pPr>
        <w:pStyle w:val="BodyTextIndent"/>
        <w:keepNext/>
        <w:keepLines/>
        <w:spacing w:before="0" w:after="60"/>
        <w:ind w:left="0" w:right="-420"/>
        <w:rPr>
          <w:b/>
          <w:bCs/>
        </w:rPr>
      </w:pPr>
      <w:r w:rsidRPr="00DA0B22">
        <w:rPr>
          <w:rFonts w:asciiTheme="minorHAnsi" w:hAnsiTheme="minorHAnsi"/>
          <w:sz w:val="22"/>
          <w:szCs w:val="22"/>
        </w:rPr>
        <w:t xml:space="preserve">The submission of a proposal shall not in any manner oblige TBC to </w:t>
      </w:r>
      <w:proofErr w:type="gramStart"/>
      <w:r w:rsidRPr="00DA0B22">
        <w:rPr>
          <w:rFonts w:asciiTheme="minorHAnsi" w:hAnsiTheme="minorHAnsi"/>
          <w:sz w:val="22"/>
          <w:szCs w:val="22"/>
        </w:rPr>
        <w:t>enter into</w:t>
      </w:r>
      <w:proofErr w:type="gramEnd"/>
      <w:r w:rsidRPr="00DA0B22">
        <w:rPr>
          <w:rFonts w:asciiTheme="minorHAnsi" w:hAnsiTheme="minorHAnsi"/>
          <w:sz w:val="22"/>
          <w:szCs w:val="22"/>
        </w:rPr>
        <w:t xml:space="preserve"> a contract or to be responsible</w:t>
      </w:r>
      <w:r w:rsidRPr="00457C38">
        <w:rPr>
          <w:rFonts w:asciiTheme="minorHAnsi" w:hAnsiTheme="minorHAnsi"/>
          <w:sz w:val="22"/>
          <w:szCs w:val="22"/>
        </w:rPr>
        <w:t xml:space="preserve"> </w:t>
      </w:r>
      <w:r w:rsidRPr="009920B0">
        <w:rPr>
          <w:rFonts w:asciiTheme="minorHAnsi" w:hAnsiTheme="minorHAnsi"/>
          <w:sz w:val="22"/>
          <w:szCs w:val="22"/>
        </w:rPr>
        <w:t xml:space="preserve">for the costs incurred by </w:t>
      </w:r>
      <w:r w:rsidR="00324110">
        <w:rPr>
          <w:rFonts w:asciiTheme="minorHAnsi" w:hAnsiTheme="minorHAnsi"/>
          <w:sz w:val="22"/>
          <w:szCs w:val="22"/>
        </w:rPr>
        <w:t>the applicant or their</w:t>
      </w:r>
      <w:r w:rsidRPr="009920B0">
        <w:rPr>
          <w:rFonts w:asciiTheme="minorHAnsi" w:hAnsiTheme="minorHAnsi"/>
          <w:sz w:val="22"/>
          <w:szCs w:val="22"/>
        </w:rPr>
        <w:t xml:space="preserve"> orga</w:t>
      </w:r>
      <w:r>
        <w:rPr>
          <w:rFonts w:asciiTheme="minorHAnsi" w:hAnsiTheme="minorHAnsi"/>
          <w:sz w:val="22"/>
          <w:szCs w:val="22"/>
        </w:rPr>
        <w:t>nization in responding to this T</w:t>
      </w:r>
      <w:r w:rsidR="00324110">
        <w:rPr>
          <w:rFonts w:asciiTheme="minorHAnsi" w:hAnsiTheme="minorHAnsi"/>
          <w:sz w:val="22"/>
          <w:szCs w:val="22"/>
        </w:rPr>
        <w:t>OR.</w:t>
      </w:r>
    </w:p>
    <w:p w14:paraId="14627012" w14:textId="77777777" w:rsidR="006D0501" w:rsidRDefault="006D0501" w:rsidP="006D0501">
      <w:pPr>
        <w:spacing w:after="0" w:line="240" w:lineRule="auto"/>
        <w:contextualSpacing/>
      </w:pPr>
    </w:p>
    <w:p w14:paraId="37A4383A" w14:textId="77777777" w:rsidR="00661CBF" w:rsidRDefault="00661CBF"/>
    <w:sectPr w:rsidR="00661C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53EF" w14:textId="77777777" w:rsidR="00A37896" w:rsidRDefault="00A37896" w:rsidP="006D0501">
      <w:pPr>
        <w:spacing w:after="0" w:line="240" w:lineRule="auto"/>
      </w:pPr>
      <w:r>
        <w:separator/>
      </w:r>
    </w:p>
  </w:endnote>
  <w:endnote w:type="continuationSeparator" w:id="0">
    <w:p w14:paraId="15B762CC" w14:textId="77777777" w:rsidR="00A37896" w:rsidRDefault="00A37896" w:rsidP="006D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54C1" w14:textId="77777777" w:rsidR="00A37896" w:rsidRDefault="00A37896" w:rsidP="006D0501">
      <w:pPr>
        <w:spacing w:after="0" w:line="240" w:lineRule="auto"/>
      </w:pPr>
      <w:r>
        <w:separator/>
      </w:r>
    </w:p>
  </w:footnote>
  <w:footnote w:type="continuationSeparator" w:id="0">
    <w:p w14:paraId="708EE32C" w14:textId="77777777" w:rsidR="00A37896" w:rsidRDefault="00A37896" w:rsidP="006D0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80E"/>
    <w:multiLevelType w:val="hybridMultilevel"/>
    <w:tmpl w:val="7B2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E26F4"/>
    <w:multiLevelType w:val="hybridMultilevel"/>
    <w:tmpl w:val="4E42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33121"/>
    <w:multiLevelType w:val="hybridMultilevel"/>
    <w:tmpl w:val="0D68B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FF6BC8"/>
    <w:multiLevelType w:val="hybridMultilevel"/>
    <w:tmpl w:val="4B9C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530672">
    <w:abstractNumId w:val="0"/>
  </w:num>
  <w:num w:numId="2" w16cid:durableId="99183675">
    <w:abstractNumId w:val="1"/>
  </w:num>
  <w:num w:numId="3" w16cid:durableId="1706829554">
    <w:abstractNumId w:val="3"/>
  </w:num>
  <w:num w:numId="4" w16cid:durableId="1503546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wMbYwNLA0NzEytTRW0lEKTi0uzszPAykwrAUANWRBqSwAAAA="/>
  </w:docVars>
  <w:rsids>
    <w:rsidRoot w:val="006D0501"/>
    <w:rsid w:val="00054738"/>
    <w:rsid w:val="001C30B1"/>
    <w:rsid w:val="0024037E"/>
    <w:rsid w:val="003208B3"/>
    <w:rsid w:val="00324110"/>
    <w:rsid w:val="0037368C"/>
    <w:rsid w:val="003854C7"/>
    <w:rsid w:val="003D7A13"/>
    <w:rsid w:val="00402D5F"/>
    <w:rsid w:val="004523DE"/>
    <w:rsid w:val="00516250"/>
    <w:rsid w:val="00661CBF"/>
    <w:rsid w:val="006D0501"/>
    <w:rsid w:val="0075755A"/>
    <w:rsid w:val="007E0CA2"/>
    <w:rsid w:val="00800287"/>
    <w:rsid w:val="00827BF3"/>
    <w:rsid w:val="008B7D8F"/>
    <w:rsid w:val="00957A45"/>
    <w:rsid w:val="00A37896"/>
    <w:rsid w:val="00AF47D0"/>
    <w:rsid w:val="00CA0069"/>
    <w:rsid w:val="00D45015"/>
    <w:rsid w:val="00D94CA2"/>
    <w:rsid w:val="00DC4D88"/>
    <w:rsid w:val="00E51D3C"/>
    <w:rsid w:val="00E6342E"/>
    <w:rsid w:val="00F57945"/>
    <w:rsid w:val="00FB285E"/>
    <w:rsid w:val="00FF4D12"/>
    <w:rsid w:val="0A72268D"/>
    <w:rsid w:val="11E24193"/>
    <w:rsid w:val="4F8A297A"/>
    <w:rsid w:val="5FB756E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5C01"/>
  <w15:chartTrackingRefBased/>
  <w15:docId w15:val="{4B148602-001A-4E19-B313-E2D7680C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01"/>
    <w:pPr>
      <w:spacing w:after="200" w:line="276"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501"/>
    <w:rPr>
      <w:color w:val="0000FF"/>
      <w:u w:val="single"/>
    </w:rPr>
  </w:style>
  <w:style w:type="paragraph" w:styleId="ListParagraph">
    <w:name w:val="List Paragraph"/>
    <w:basedOn w:val="Normal"/>
    <w:qFormat/>
    <w:rsid w:val="006D0501"/>
    <w:pPr>
      <w:ind w:left="720"/>
    </w:pPr>
    <w:rPr>
      <w:rFonts w:ascii="Calibri" w:eastAsia="Calibri" w:hAnsi="Calibri" w:cs="Calibri"/>
    </w:rPr>
  </w:style>
  <w:style w:type="paragraph" w:styleId="BodyTextIndent">
    <w:name w:val="Body Text Indent"/>
    <w:basedOn w:val="Normal"/>
    <w:link w:val="BodyTextIndentChar"/>
    <w:rsid w:val="006D0501"/>
    <w:pPr>
      <w:spacing w:before="60" w:after="0" w:line="240" w:lineRule="auto"/>
      <w:ind w:left="720"/>
    </w:pPr>
    <w:rPr>
      <w:rFonts w:ascii="Arial" w:eastAsia="Times New Roman" w:hAnsi="Arial" w:cs="Times New Roman"/>
      <w:sz w:val="24"/>
      <w:szCs w:val="42"/>
    </w:rPr>
  </w:style>
  <w:style w:type="character" w:customStyle="1" w:styleId="BodyTextIndentChar">
    <w:name w:val="Body Text Indent Char"/>
    <w:basedOn w:val="DefaultParagraphFont"/>
    <w:link w:val="BodyTextIndent"/>
    <w:rsid w:val="006D0501"/>
    <w:rPr>
      <w:rFonts w:ascii="Arial" w:eastAsia="Times New Roman" w:hAnsi="Arial" w:cs="Times New Roman"/>
      <w:sz w:val="24"/>
      <w:szCs w:val="42"/>
      <w:lang w:bidi="ar-SA"/>
    </w:rPr>
  </w:style>
  <w:style w:type="paragraph" w:styleId="Header">
    <w:name w:val="header"/>
    <w:basedOn w:val="Normal"/>
    <w:link w:val="HeaderChar"/>
    <w:uiPriority w:val="99"/>
    <w:unhideWhenUsed/>
    <w:rsid w:val="006D0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501"/>
    <w:rPr>
      <w:szCs w:val="22"/>
      <w:lang w:bidi="ar-SA"/>
    </w:rPr>
  </w:style>
  <w:style w:type="paragraph" w:styleId="Footer">
    <w:name w:val="footer"/>
    <w:basedOn w:val="Normal"/>
    <w:link w:val="FooterChar"/>
    <w:uiPriority w:val="99"/>
    <w:unhideWhenUsed/>
    <w:rsid w:val="006D0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501"/>
    <w:rPr>
      <w:szCs w:val="22"/>
      <w:lang w:bidi="ar-SA"/>
    </w:rPr>
  </w:style>
  <w:style w:type="table" w:styleId="TableGrid">
    <w:name w:val="Table Grid"/>
    <w:basedOn w:val="TableNormal"/>
    <w:uiPriority w:val="39"/>
    <w:rsid w:val="00AF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4110"/>
    <w:rPr>
      <w:sz w:val="16"/>
      <w:szCs w:val="16"/>
    </w:rPr>
  </w:style>
  <w:style w:type="paragraph" w:styleId="CommentText">
    <w:name w:val="annotation text"/>
    <w:basedOn w:val="Normal"/>
    <w:link w:val="CommentTextChar"/>
    <w:uiPriority w:val="99"/>
    <w:unhideWhenUsed/>
    <w:rsid w:val="00324110"/>
    <w:pPr>
      <w:spacing w:line="240" w:lineRule="auto"/>
    </w:pPr>
    <w:rPr>
      <w:sz w:val="20"/>
      <w:szCs w:val="20"/>
    </w:rPr>
  </w:style>
  <w:style w:type="character" w:customStyle="1" w:styleId="CommentTextChar">
    <w:name w:val="Comment Text Char"/>
    <w:basedOn w:val="DefaultParagraphFont"/>
    <w:link w:val="CommentText"/>
    <w:uiPriority w:val="99"/>
    <w:rsid w:val="00324110"/>
    <w:rPr>
      <w:sz w:val="20"/>
      <w:szCs w:val="20"/>
      <w:lang w:bidi="ar-SA"/>
    </w:rPr>
  </w:style>
  <w:style w:type="paragraph" w:styleId="CommentSubject">
    <w:name w:val="annotation subject"/>
    <w:basedOn w:val="CommentText"/>
    <w:next w:val="CommentText"/>
    <w:link w:val="CommentSubjectChar"/>
    <w:uiPriority w:val="99"/>
    <w:semiHidden/>
    <w:unhideWhenUsed/>
    <w:rsid w:val="00324110"/>
    <w:rPr>
      <w:b/>
      <w:bCs/>
    </w:rPr>
  </w:style>
  <w:style w:type="character" w:customStyle="1" w:styleId="CommentSubjectChar">
    <w:name w:val="Comment Subject Char"/>
    <w:basedOn w:val="CommentTextChar"/>
    <w:link w:val="CommentSubject"/>
    <w:uiPriority w:val="99"/>
    <w:semiHidden/>
    <w:rsid w:val="00324110"/>
    <w:rPr>
      <w:b/>
      <w:bCs/>
      <w:sz w:val="20"/>
      <w:szCs w:val="20"/>
      <w:lang w:bidi="ar-SA"/>
    </w:rPr>
  </w:style>
  <w:style w:type="character" w:styleId="UnresolvedMention">
    <w:name w:val="Unresolved Mention"/>
    <w:basedOn w:val="DefaultParagraphFont"/>
    <w:uiPriority w:val="99"/>
    <w:semiHidden/>
    <w:unhideWhenUsed/>
    <w:rsid w:val="00324110"/>
    <w:rPr>
      <w:color w:val="605E5C"/>
      <w:shd w:val="clear" w:color="auto" w:fill="E1DFDD"/>
    </w:rPr>
  </w:style>
  <w:style w:type="paragraph" w:styleId="Revision">
    <w:name w:val="Revision"/>
    <w:hidden/>
    <w:uiPriority w:val="99"/>
    <w:semiHidden/>
    <w:rsid w:val="004523DE"/>
    <w:pPr>
      <w:spacing w:after="0" w:line="240" w:lineRule="auto"/>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theborderconsorti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Seely</dc:creator>
  <cp:keywords/>
  <dc:description/>
  <cp:lastModifiedBy>Nattakorn (Jel) Thamasakdakorn</cp:lastModifiedBy>
  <cp:revision>3</cp:revision>
  <dcterms:created xsi:type="dcterms:W3CDTF">2023-03-09T09:01:00Z</dcterms:created>
  <dcterms:modified xsi:type="dcterms:W3CDTF">2023-03-09T09:13:00Z</dcterms:modified>
</cp:coreProperties>
</file>